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962A" w14:textId="6BEC4BF2" w:rsidR="00947E92" w:rsidRDefault="00BE042D">
      <w:pPr>
        <w:pStyle w:val="Title"/>
        <w:spacing w:after="120" w:line="268" w:lineRule="auto"/>
        <w:jc w:val="center"/>
      </w:pPr>
      <w:r>
        <w:rPr>
          <w:noProof/>
        </w:rPr>
        <w:drawing>
          <wp:inline distT="0" distB="0" distL="0" distR="0" wp14:anchorId="632A6C69" wp14:editId="2960F28D">
            <wp:extent cx="4638675" cy="1354703"/>
            <wp:effectExtent l="0" t="0" r="0" b="0"/>
            <wp:docPr id="812501639" name="Picture 81250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1639" name="Picture 812501639"/>
                    <pic:cNvPicPr/>
                  </pic:nvPicPr>
                  <pic:blipFill>
                    <a:blip r:embed="rId7">
                      <a:extLst>
                        <a:ext uri="{28A0092B-C50C-407E-A947-70E740481C1C}">
                          <a14:useLocalDpi xmlns:a14="http://schemas.microsoft.com/office/drawing/2010/main" val="0"/>
                        </a:ext>
                      </a:extLst>
                    </a:blip>
                    <a:stretch>
                      <a:fillRect/>
                    </a:stretch>
                  </pic:blipFill>
                  <pic:spPr>
                    <a:xfrm>
                      <a:off x="0" y="0"/>
                      <a:ext cx="4691875" cy="1370240"/>
                    </a:xfrm>
                    <a:prstGeom prst="rect">
                      <a:avLst/>
                    </a:prstGeom>
                  </pic:spPr>
                </pic:pic>
              </a:graphicData>
            </a:graphic>
          </wp:inline>
        </w:drawing>
      </w:r>
    </w:p>
    <w:p w14:paraId="33A8E0C7" w14:textId="05FD3B88" w:rsidR="008768CA" w:rsidRDefault="00C50A66">
      <w:pPr>
        <w:pStyle w:val="Title"/>
        <w:spacing w:after="120" w:line="268" w:lineRule="auto"/>
        <w:jc w:val="center"/>
      </w:pPr>
      <w:r>
        <w:t>Carbon Reduction Plan</w:t>
      </w:r>
    </w:p>
    <w:p w14:paraId="70C3FA72" w14:textId="60F204CD" w:rsidR="008768CA" w:rsidRDefault="00C50A66">
      <w:pPr>
        <w:pStyle w:val="Standard"/>
        <w:spacing w:after="120" w:line="268" w:lineRule="auto"/>
        <w:jc w:val="both"/>
      </w:pPr>
      <w:r>
        <w:rPr>
          <w:sz w:val="28"/>
          <w:szCs w:val="28"/>
        </w:rPr>
        <w:t>Supplier name:</w:t>
      </w:r>
      <w:r>
        <w:t xml:space="preserve"> </w:t>
      </w:r>
      <w:r w:rsidR="00911C11">
        <w:t>Birch Airfield Composting Services Ltd</w:t>
      </w:r>
    </w:p>
    <w:p w14:paraId="296BE48C" w14:textId="725D9E0A" w:rsidR="008768CA" w:rsidRDefault="00C50A66">
      <w:pPr>
        <w:pStyle w:val="Standard"/>
        <w:spacing w:after="120" w:line="268" w:lineRule="auto"/>
        <w:jc w:val="both"/>
      </w:pPr>
      <w:r>
        <w:rPr>
          <w:sz w:val="28"/>
          <w:szCs w:val="28"/>
        </w:rPr>
        <w:t>Publication date:</w:t>
      </w:r>
      <w:r>
        <w:t xml:space="preserve"> </w:t>
      </w:r>
      <w:r w:rsidR="00A97ABD">
        <w:t>01/0</w:t>
      </w:r>
      <w:r w:rsidR="00595507">
        <w:t>4</w:t>
      </w:r>
      <w:r w:rsidR="00A97ABD">
        <w:t>/2023</w:t>
      </w:r>
    </w:p>
    <w:p w14:paraId="2B2B8F86" w14:textId="77777777" w:rsidR="008768CA" w:rsidRDefault="00C50A66">
      <w:pPr>
        <w:pStyle w:val="Heading1"/>
        <w:spacing w:before="360" w:line="268" w:lineRule="auto"/>
        <w:jc w:val="both"/>
      </w:pPr>
      <w:bookmarkStart w:id="0" w:name="_heading=h.30j0zll"/>
      <w:bookmarkEnd w:id="0"/>
      <w:r>
        <w:rPr>
          <w:b/>
          <w:sz w:val="28"/>
          <w:szCs w:val="28"/>
        </w:rPr>
        <w:t>Commitment to achieving Net Zero</w:t>
      </w:r>
    </w:p>
    <w:p w14:paraId="412DD827" w14:textId="6737E938" w:rsidR="008768CA" w:rsidRDefault="00A97ABD">
      <w:pPr>
        <w:pStyle w:val="Heading1"/>
        <w:keepNext w:val="0"/>
        <w:keepLines w:val="0"/>
        <w:spacing w:before="0" w:line="268" w:lineRule="auto"/>
        <w:jc w:val="both"/>
      </w:pPr>
      <w:bookmarkStart w:id="1" w:name="_heading=h.1fob9te"/>
      <w:bookmarkEnd w:id="1"/>
      <w:r>
        <w:rPr>
          <w:sz w:val="22"/>
          <w:szCs w:val="22"/>
        </w:rPr>
        <w:t xml:space="preserve">Birch Airfield Composting Services Ltd </w:t>
      </w:r>
      <w:r w:rsidR="00C50A66">
        <w:rPr>
          <w:sz w:val="22"/>
          <w:szCs w:val="22"/>
        </w:rPr>
        <w:t>is committed to achieving Net Zero emissions by 2</w:t>
      </w:r>
      <w:r w:rsidR="004C3551">
        <w:rPr>
          <w:sz w:val="22"/>
          <w:szCs w:val="22"/>
        </w:rPr>
        <w:t>050</w:t>
      </w:r>
      <w:r w:rsidR="00C50A66">
        <w:rPr>
          <w:sz w:val="22"/>
          <w:szCs w:val="22"/>
        </w:rPr>
        <w:t>.</w:t>
      </w:r>
    </w:p>
    <w:p w14:paraId="16CA2D28" w14:textId="77777777" w:rsidR="008768CA" w:rsidRDefault="00C50A66">
      <w:pPr>
        <w:pStyle w:val="Heading1"/>
        <w:spacing w:before="360" w:line="268" w:lineRule="auto"/>
        <w:jc w:val="both"/>
      </w:pPr>
      <w:bookmarkStart w:id="2" w:name="_heading=h.3znysh7"/>
      <w:bookmarkEnd w:id="2"/>
      <w:r>
        <w:rPr>
          <w:b/>
          <w:sz w:val="28"/>
          <w:szCs w:val="28"/>
        </w:rPr>
        <w:t>Baseline Emissions Footprint</w:t>
      </w:r>
    </w:p>
    <w:p w14:paraId="65331AF7" w14:textId="42730622" w:rsidR="008768CA" w:rsidRDefault="00C50A66">
      <w:pPr>
        <w:pStyle w:val="Standard"/>
      </w:pPr>
      <w:r>
        <w:t xml:space="preserve">Baseline emissions are a record of the greenhouse gases that have been produced in the past and were produced prior to the introduction of any </w:t>
      </w:r>
      <w:r w:rsidR="00E06813">
        <w:t>012</w:t>
      </w:r>
      <w:r>
        <w:t>strategies to reduce emissions. Baseline emissions are the reference point against which emissions reduction can be measured.</w:t>
      </w:r>
    </w:p>
    <w:p w14:paraId="774F52D3" w14:textId="3B247397" w:rsidR="0009612F" w:rsidRDefault="00F14547">
      <w:pPr>
        <w:pStyle w:val="Standard"/>
      </w:pPr>
      <w:r>
        <w:t>The baseline emissions for this report are from the year 2022</w:t>
      </w:r>
      <w:r w:rsidR="007E4F8F">
        <w:t>. The date range covered is 01/01/2022 to 31/12/2022</w:t>
      </w:r>
      <w:r w:rsidR="007B2B6C">
        <w:t xml:space="preserve">. </w:t>
      </w:r>
      <w:r w:rsidR="00E72FA8">
        <w:t>This</w:t>
      </w:r>
      <w:r w:rsidR="007B2B6C">
        <w:t xml:space="preserve"> was the first year the organisation has reported on emissions. </w:t>
      </w:r>
    </w:p>
    <w:p w14:paraId="7B1CC627" w14:textId="55D30BF1" w:rsidR="008768CA" w:rsidRDefault="00C50A66">
      <w:pPr>
        <w:pStyle w:val="Standard"/>
      </w:pPr>
      <w:r>
        <w:t xml:space="preserve"> </w:t>
      </w: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8768CA" w14:paraId="5D870ABE"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ABDFB" w14:textId="42F52E8E" w:rsidR="008768CA" w:rsidRDefault="00C50A66">
            <w:pPr>
              <w:pStyle w:val="Standard"/>
              <w:spacing w:after="120" w:line="268" w:lineRule="auto"/>
              <w:jc w:val="both"/>
            </w:pPr>
            <w:r>
              <w:rPr>
                <w:b/>
              </w:rPr>
              <w:t xml:space="preserve">Baseline Year: </w:t>
            </w:r>
            <w:r w:rsidR="00A84A26">
              <w:rPr>
                <w:b/>
              </w:rPr>
              <w:t>2022</w:t>
            </w:r>
          </w:p>
        </w:tc>
      </w:tr>
      <w:tr w:rsidR="008768CA" w14:paraId="33EDA6A3"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3FC95" w14:textId="77777777" w:rsidR="008768CA" w:rsidRDefault="00C50A66">
            <w:pPr>
              <w:pStyle w:val="Standard"/>
              <w:spacing w:after="120" w:line="268" w:lineRule="auto"/>
              <w:jc w:val="both"/>
            </w:pPr>
            <w:r>
              <w:rPr>
                <w:b/>
              </w:rPr>
              <w:t>Additional Details relating to the Baseline Emissions calculations.</w:t>
            </w:r>
          </w:p>
        </w:tc>
      </w:tr>
      <w:tr w:rsidR="008768CA" w14:paraId="279AC922"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8F0CE" w14:textId="6CC063E6" w:rsidR="008768CA" w:rsidRDefault="00B43258">
            <w:pPr>
              <w:pStyle w:val="Standard"/>
              <w:spacing w:after="120" w:line="268" w:lineRule="auto"/>
              <w:jc w:val="both"/>
            </w:pPr>
            <w:r>
              <w:t xml:space="preserve">2022 is the baseline year as </w:t>
            </w:r>
            <w:r w:rsidR="008A3C96">
              <w:t xml:space="preserve">Birch Airfield Composting Services Ltd had not previously been required to request and collate </w:t>
            </w:r>
            <w:r w:rsidR="00132A9F">
              <w:t xml:space="preserve">this information. </w:t>
            </w:r>
          </w:p>
        </w:tc>
      </w:tr>
      <w:tr w:rsidR="008768CA" w14:paraId="6C83D1BC"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2DCF6" w14:textId="77777777" w:rsidR="008768CA" w:rsidRDefault="00C50A66">
            <w:pPr>
              <w:pStyle w:val="Standard"/>
              <w:spacing w:after="120" w:line="268" w:lineRule="auto"/>
              <w:jc w:val="both"/>
            </w:pPr>
            <w:r>
              <w:rPr>
                <w:b/>
              </w:rPr>
              <w:t>Baseline year emissions:</w:t>
            </w:r>
          </w:p>
        </w:tc>
      </w:tr>
      <w:tr w:rsidR="008768CA" w14:paraId="4D11416C" w14:textId="77777777">
        <w:trPr>
          <w:trHeight w:val="740"/>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2099E" w14:textId="77777777" w:rsidR="008768CA" w:rsidRDefault="00C50A66">
            <w:pPr>
              <w:pStyle w:val="Standard"/>
              <w:spacing w:after="120" w:line="268" w:lineRule="auto"/>
              <w:jc w:val="both"/>
            </w:pPr>
            <w:r>
              <w:rPr>
                <w:b/>
              </w:rPr>
              <w:t>EMISSIONS</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0707B0AB" w14:textId="77777777" w:rsidR="008768CA" w:rsidRDefault="00C50A66">
            <w:pPr>
              <w:pStyle w:val="Standard"/>
              <w:spacing w:after="120" w:line="268" w:lineRule="auto"/>
              <w:jc w:val="both"/>
            </w:pPr>
            <w:r>
              <w:rPr>
                <w:b/>
              </w:rPr>
              <w:t>TOTAL (tCO</w:t>
            </w:r>
            <w:r>
              <w:rPr>
                <w:b/>
                <w:vertAlign w:val="subscript"/>
              </w:rPr>
              <w:t>2</w:t>
            </w:r>
            <w:r>
              <w:rPr>
                <w:b/>
              </w:rPr>
              <w:t>e)</w:t>
            </w:r>
          </w:p>
        </w:tc>
      </w:tr>
      <w:tr w:rsidR="008768CA" w14:paraId="57C8FFB5"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7BA02" w14:textId="77777777" w:rsidR="008768CA" w:rsidRDefault="00C50A66">
            <w:pPr>
              <w:pStyle w:val="Standard"/>
              <w:spacing w:after="120" w:line="268" w:lineRule="auto"/>
              <w:jc w:val="both"/>
            </w:pPr>
            <w:r>
              <w:rPr>
                <w:b/>
              </w:rPr>
              <w:t>Scope 1</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0577962D" w14:textId="3B8EBAB1" w:rsidR="008768CA" w:rsidRDefault="00C04EF4">
            <w:pPr>
              <w:pStyle w:val="Standard"/>
              <w:spacing w:after="120" w:line="268" w:lineRule="auto"/>
              <w:jc w:val="both"/>
            </w:pPr>
            <w:r>
              <w:t>399.4</w:t>
            </w:r>
          </w:p>
        </w:tc>
      </w:tr>
      <w:tr w:rsidR="008768CA" w14:paraId="52922DB5"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6A7E8" w14:textId="77777777" w:rsidR="008768CA" w:rsidRDefault="00C50A66">
            <w:pPr>
              <w:pStyle w:val="Standard"/>
              <w:spacing w:after="120" w:line="268" w:lineRule="auto"/>
              <w:jc w:val="both"/>
            </w:pPr>
            <w:r>
              <w:rPr>
                <w:b/>
              </w:rPr>
              <w:t>Scope 2</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7B64515C" w14:textId="3FEB03FB" w:rsidR="008768CA" w:rsidRDefault="00C04EF4">
            <w:pPr>
              <w:pStyle w:val="Standard"/>
              <w:spacing w:after="120" w:line="268" w:lineRule="auto"/>
              <w:jc w:val="both"/>
            </w:pPr>
            <w:r>
              <w:t>4.15</w:t>
            </w:r>
          </w:p>
        </w:tc>
      </w:tr>
      <w:tr w:rsidR="008768CA" w14:paraId="6CE92A69" w14:textId="77777777">
        <w:trPr>
          <w:trHeight w:val="585"/>
        </w:trPr>
        <w:tc>
          <w:tcPr>
            <w:tcW w:w="2130"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4CF05930" w14:textId="77777777" w:rsidR="008768CA" w:rsidRDefault="00C50A66">
            <w:pPr>
              <w:pStyle w:val="Standard"/>
              <w:spacing w:after="120" w:line="268" w:lineRule="auto"/>
              <w:jc w:val="both"/>
            </w:pPr>
            <w:r>
              <w:rPr>
                <w:b/>
              </w:rPr>
              <w:lastRenderedPageBreak/>
              <w:t>Scope 3</w:t>
            </w:r>
          </w:p>
          <w:p w14:paraId="3B9A5783" w14:textId="77777777" w:rsidR="008768CA" w:rsidRDefault="00C50A66">
            <w:pPr>
              <w:pStyle w:val="Standard"/>
              <w:spacing w:after="120" w:line="268" w:lineRule="auto"/>
              <w:jc w:val="both"/>
            </w:pPr>
            <w:r>
              <w:rPr>
                <w:b/>
                <w:sz w:val="18"/>
                <w:szCs w:val="18"/>
              </w:rPr>
              <w:t>(Included Sources)</w:t>
            </w:r>
          </w:p>
        </w:tc>
        <w:tc>
          <w:tcPr>
            <w:tcW w:w="7320" w:type="dxa"/>
            <w:tcBorders>
              <w:bottom w:val="single" w:sz="18" w:space="0" w:color="000000"/>
              <w:right w:val="single" w:sz="18" w:space="0" w:color="000000"/>
            </w:tcBorders>
            <w:shd w:val="clear" w:color="auto" w:fill="auto"/>
            <w:tcMar>
              <w:top w:w="100" w:type="dxa"/>
              <w:left w:w="100" w:type="dxa"/>
              <w:bottom w:w="100" w:type="dxa"/>
              <w:right w:w="100" w:type="dxa"/>
            </w:tcMar>
          </w:tcPr>
          <w:p w14:paraId="2B1C0499" w14:textId="4C580723" w:rsidR="008768CA" w:rsidRDefault="00C04EF4">
            <w:pPr>
              <w:pStyle w:val="Standard"/>
              <w:spacing w:after="120" w:line="268" w:lineRule="auto"/>
              <w:jc w:val="both"/>
            </w:pPr>
            <w:r>
              <w:t>93.404</w:t>
            </w:r>
          </w:p>
        </w:tc>
      </w:tr>
      <w:tr w:rsidR="008768CA" w14:paraId="4A83868D" w14:textId="77777777">
        <w:trPr>
          <w:trHeight w:val="585"/>
        </w:trPr>
        <w:tc>
          <w:tcPr>
            <w:tcW w:w="2130"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CED43" w14:textId="77777777" w:rsidR="008768CA" w:rsidRDefault="00C50A66">
            <w:pPr>
              <w:pStyle w:val="Standard"/>
              <w:spacing w:after="120" w:line="268" w:lineRule="auto"/>
              <w:jc w:val="both"/>
            </w:pPr>
            <w:r>
              <w:rPr>
                <w:b/>
              </w:rPr>
              <w:t>Total Emissions</w:t>
            </w:r>
          </w:p>
        </w:tc>
        <w:tc>
          <w:tcPr>
            <w:tcW w:w="732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tcPr>
          <w:p w14:paraId="32F70B91" w14:textId="6ACC6C70" w:rsidR="008768CA" w:rsidRDefault="00C04EF4">
            <w:pPr>
              <w:pStyle w:val="Standard"/>
              <w:spacing w:after="120" w:line="268" w:lineRule="auto"/>
              <w:jc w:val="both"/>
            </w:pPr>
            <w:r>
              <w:t>496.954</w:t>
            </w:r>
          </w:p>
        </w:tc>
      </w:tr>
    </w:tbl>
    <w:p w14:paraId="32CDB700" w14:textId="77777777" w:rsidR="008768CA" w:rsidRDefault="008768CA">
      <w:pPr>
        <w:pStyle w:val="Standard"/>
        <w:rPr>
          <w:b/>
          <w:sz w:val="28"/>
          <w:szCs w:val="28"/>
        </w:rPr>
      </w:pPr>
    </w:p>
    <w:p w14:paraId="21380A1A" w14:textId="77777777" w:rsidR="008768CA" w:rsidRDefault="00C50A66">
      <w:pPr>
        <w:pStyle w:val="Standard"/>
      </w:pPr>
      <w:r>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8768CA" w14:paraId="541D3F65"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E84EA0" w14:textId="48260C69" w:rsidR="008768CA" w:rsidRDefault="00C50A66">
            <w:pPr>
              <w:pStyle w:val="Standard"/>
              <w:spacing w:after="120" w:line="268" w:lineRule="auto"/>
              <w:jc w:val="both"/>
            </w:pPr>
            <w:r>
              <w:rPr>
                <w:b/>
              </w:rPr>
              <w:t>Reporting Year: 20</w:t>
            </w:r>
            <w:r w:rsidR="00C55A1D">
              <w:rPr>
                <w:b/>
              </w:rPr>
              <w:t>22</w:t>
            </w:r>
          </w:p>
        </w:tc>
      </w:tr>
      <w:tr w:rsidR="008768CA" w14:paraId="0BA50950" w14:textId="77777777">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15D57F" w14:textId="77777777" w:rsidR="008768CA" w:rsidRDefault="00C50A66">
            <w:pPr>
              <w:pStyle w:val="Standard"/>
              <w:spacing w:after="120" w:line="268" w:lineRule="auto"/>
              <w:jc w:val="both"/>
            </w:pPr>
            <w:r>
              <w:rPr>
                <w:b/>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AC0769" w14:textId="77777777" w:rsidR="008768CA" w:rsidRDefault="00C50A66">
            <w:pPr>
              <w:pStyle w:val="Standard"/>
              <w:spacing w:after="120" w:line="268" w:lineRule="auto"/>
              <w:jc w:val="both"/>
            </w:pPr>
            <w:r>
              <w:rPr>
                <w:b/>
              </w:rPr>
              <w:t>TOTAL (tCO</w:t>
            </w:r>
            <w:r>
              <w:rPr>
                <w:b/>
                <w:vertAlign w:val="subscript"/>
              </w:rPr>
              <w:t>2</w:t>
            </w:r>
            <w:r>
              <w:rPr>
                <w:b/>
              </w:rPr>
              <w:t>e)</w:t>
            </w:r>
          </w:p>
        </w:tc>
      </w:tr>
      <w:tr w:rsidR="008768CA" w14:paraId="67C209B8"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62E98C" w14:textId="77777777" w:rsidR="008768CA" w:rsidRDefault="00C50A66">
            <w:pPr>
              <w:pStyle w:val="Standard"/>
              <w:spacing w:after="120" w:line="268" w:lineRule="auto"/>
              <w:jc w:val="both"/>
            </w:pPr>
            <w:r>
              <w:rPr>
                <w:b/>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A6957F" w14:textId="06BB5A7B" w:rsidR="008768CA" w:rsidRDefault="00E12E9F">
            <w:pPr>
              <w:pStyle w:val="Standard"/>
              <w:spacing w:after="120" w:line="268" w:lineRule="auto"/>
              <w:jc w:val="both"/>
            </w:pPr>
            <w:r>
              <w:t>39</w:t>
            </w:r>
            <w:r w:rsidR="00832B68">
              <w:t>9.4</w:t>
            </w:r>
          </w:p>
        </w:tc>
      </w:tr>
      <w:tr w:rsidR="008768CA" w14:paraId="442CCCBB"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FBB6DB" w14:textId="77777777" w:rsidR="008768CA" w:rsidRDefault="00C50A66">
            <w:pPr>
              <w:pStyle w:val="Standard"/>
              <w:spacing w:after="120" w:line="268" w:lineRule="auto"/>
              <w:jc w:val="both"/>
            </w:pPr>
            <w:r>
              <w:rPr>
                <w:b/>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A2AF52" w14:textId="328F63BD" w:rsidR="008768CA" w:rsidRDefault="002740D1">
            <w:pPr>
              <w:pStyle w:val="Standard"/>
              <w:spacing w:after="120" w:line="268" w:lineRule="auto"/>
              <w:jc w:val="both"/>
            </w:pPr>
            <w:r>
              <w:t>4.15</w:t>
            </w:r>
          </w:p>
        </w:tc>
      </w:tr>
      <w:tr w:rsidR="008768CA" w14:paraId="26485CFF"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B70A03" w14:textId="77777777" w:rsidR="008768CA" w:rsidRDefault="00C50A66">
            <w:pPr>
              <w:pStyle w:val="Standard"/>
              <w:spacing w:after="120" w:line="268" w:lineRule="auto"/>
              <w:jc w:val="both"/>
            </w:pPr>
            <w:r>
              <w:rPr>
                <w:b/>
              </w:rPr>
              <w:t>Scope 3</w:t>
            </w:r>
          </w:p>
          <w:p w14:paraId="5A07D407" w14:textId="77777777" w:rsidR="008768CA" w:rsidRDefault="00C50A66">
            <w:pPr>
              <w:pStyle w:val="Standard"/>
              <w:spacing w:after="120" w:line="268" w:lineRule="auto"/>
              <w:jc w:val="both"/>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5E008F" w14:textId="30A7E688" w:rsidR="008768CA" w:rsidRDefault="000666EB">
            <w:pPr>
              <w:pStyle w:val="Standard"/>
              <w:spacing w:after="120" w:line="268" w:lineRule="auto"/>
              <w:jc w:val="both"/>
            </w:pPr>
            <w:r>
              <w:t>93.404</w:t>
            </w:r>
          </w:p>
        </w:tc>
      </w:tr>
      <w:tr w:rsidR="008768CA" w14:paraId="3313EFB6"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45D9B" w14:textId="77777777" w:rsidR="008768CA" w:rsidRDefault="00C50A66">
            <w:pPr>
              <w:pStyle w:val="Standard"/>
              <w:spacing w:after="120" w:line="268" w:lineRule="auto"/>
              <w:jc w:val="both"/>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27DB47" w14:textId="67502330" w:rsidR="008768CA" w:rsidRDefault="00F91FF2">
            <w:pPr>
              <w:pStyle w:val="Standard"/>
              <w:spacing w:after="120" w:line="268" w:lineRule="auto"/>
              <w:jc w:val="both"/>
            </w:pPr>
            <w:r>
              <w:t>496.95</w:t>
            </w:r>
            <w:r w:rsidR="009A49E7">
              <w:t>4</w:t>
            </w:r>
          </w:p>
        </w:tc>
      </w:tr>
    </w:tbl>
    <w:p w14:paraId="7AEFCCB7" w14:textId="77777777" w:rsidR="00C50A66" w:rsidRDefault="00C50A66" w:rsidP="00721A83">
      <w:bookmarkStart w:id="3" w:name="_heading=h.2et92p0"/>
      <w:bookmarkEnd w:id="3"/>
    </w:p>
    <w:p w14:paraId="7FD70843" w14:textId="165FF968" w:rsidR="00721A83" w:rsidRDefault="00721A83" w:rsidP="00721A83">
      <w:pPr>
        <w:rPr>
          <w:rStyle w:val="Hyperlink"/>
        </w:rPr>
      </w:pPr>
      <w:r>
        <w:t xml:space="preserve">A calculation of the Scope 1 and scope 2 emissions has been generated by recording the amount of fuel and energy used by the company at the Birch Airfield site in 2022 and calculating the total tonnes CO2e following the UK Government GHG Conversion Factors for Company Reporting and the Farm Carbon Calculator </w:t>
      </w:r>
      <w:hyperlink r:id="rId8" w:history="1">
        <w:r w:rsidRPr="00BC6F90">
          <w:rPr>
            <w:rStyle w:val="Hyperlink"/>
          </w:rPr>
          <w:t>https://calculator.farmcarbontoolkit.org.uk/</w:t>
        </w:r>
      </w:hyperlink>
    </w:p>
    <w:p w14:paraId="3C63A0FB" w14:textId="77777777" w:rsidR="00C55A1D" w:rsidRDefault="00C55A1D" w:rsidP="00721A83"/>
    <w:p w14:paraId="169B13EC" w14:textId="77777777" w:rsidR="000B659E" w:rsidRDefault="000B659E" w:rsidP="000B659E">
      <w:pPr>
        <w:rPr>
          <w:u w:val="single"/>
        </w:rPr>
      </w:pPr>
      <w:r w:rsidRPr="000F5EDE">
        <w:rPr>
          <w:u w:val="single"/>
        </w:rPr>
        <w:t>Scope 1 emissions</w:t>
      </w:r>
    </w:p>
    <w:p w14:paraId="4DCBC6B1" w14:textId="77777777" w:rsidR="000B659E" w:rsidRDefault="000B659E" w:rsidP="00721A83">
      <w:pPr>
        <w:rPr>
          <w:u w:val="single"/>
        </w:rPr>
      </w:pPr>
    </w:p>
    <w:p w14:paraId="776500B3" w14:textId="629373BB" w:rsidR="00721A83" w:rsidRPr="00E8419B" w:rsidRDefault="00721A83" w:rsidP="00721A83">
      <w:pPr>
        <w:rPr>
          <w:u w:val="single"/>
        </w:rPr>
      </w:pPr>
      <w:r w:rsidRPr="00E8419B">
        <w:rPr>
          <w:u w:val="single"/>
        </w:rPr>
        <w:t>Diesel</w:t>
      </w:r>
    </w:p>
    <w:p w14:paraId="78D8D7B9" w14:textId="77777777" w:rsidR="00721A83" w:rsidRDefault="00721A83" w:rsidP="00721A83">
      <w:r>
        <w:t xml:space="preserve">All the machines run at Birch Airfield Compost site use white diesel. In 2022 </w:t>
      </w:r>
      <w:bookmarkStart w:id="4" w:name="_Hlk125716094"/>
      <w:r>
        <w:t xml:space="preserve">126,800 litres was purchased and used. This accounts for the highest amount of tonnes (t) CO2e used by BACS. </w:t>
      </w:r>
      <w:r w:rsidRPr="0002554D">
        <w:t xml:space="preserve">The Farm Carbon </w:t>
      </w:r>
      <w:r>
        <w:t>Tool kit c</w:t>
      </w:r>
      <w:r w:rsidRPr="0002554D">
        <w:t>alculat</w:t>
      </w:r>
      <w:r>
        <w:t>es</w:t>
      </w:r>
      <w:r w:rsidRPr="0002554D">
        <w:t xml:space="preserve"> 395.90 t CO2e.</w:t>
      </w:r>
    </w:p>
    <w:p w14:paraId="4E3AF752" w14:textId="77777777" w:rsidR="00C55A1D" w:rsidRDefault="00C55A1D" w:rsidP="00721A83"/>
    <w:p w14:paraId="560014D5" w14:textId="77777777" w:rsidR="0012298D" w:rsidRDefault="0012298D" w:rsidP="0012298D">
      <w:pPr>
        <w:rPr>
          <w:u w:val="single"/>
        </w:rPr>
      </w:pPr>
      <w:r w:rsidRPr="00B74AA2">
        <w:rPr>
          <w:u w:val="single"/>
        </w:rPr>
        <w:t>Oil</w:t>
      </w:r>
    </w:p>
    <w:p w14:paraId="5C2C1761" w14:textId="77777777" w:rsidR="0012298D" w:rsidRDefault="0012298D" w:rsidP="0012298D">
      <w:r w:rsidRPr="00B74AA2">
        <w:t xml:space="preserve">1000 litres of lubricant oil was used at the site in 2022. </w:t>
      </w:r>
      <w:r>
        <w:t xml:space="preserve">This produced 3.5 t CO2e. </w:t>
      </w:r>
    </w:p>
    <w:p w14:paraId="19D28DA8" w14:textId="77777777" w:rsidR="0012298D" w:rsidRPr="0002554D" w:rsidRDefault="0012298D" w:rsidP="00721A83"/>
    <w:bookmarkEnd w:id="4"/>
    <w:p w14:paraId="347B8D2F" w14:textId="3F35B8FB" w:rsidR="00C012A5" w:rsidRDefault="00C012A5" w:rsidP="00C012A5">
      <w:pPr>
        <w:rPr>
          <w:u w:val="single"/>
        </w:rPr>
      </w:pPr>
      <w:r w:rsidRPr="000F5EDE">
        <w:rPr>
          <w:u w:val="single"/>
        </w:rPr>
        <w:t xml:space="preserve">Scope </w:t>
      </w:r>
      <w:r>
        <w:rPr>
          <w:u w:val="single"/>
        </w:rPr>
        <w:t>2</w:t>
      </w:r>
      <w:r w:rsidRPr="000F5EDE">
        <w:rPr>
          <w:u w:val="single"/>
        </w:rPr>
        <w:t xml:space="preserve"> emissions</w:t>
      </w:r>
    </w:p>
    <w:p w14:paraId="54E6C760" w14:textId="77777777" w:rsidR="00C012A5" w:rsidRDefault="00C012A5" w:rsidP="00721A83">
      <w:pPr>
        <w:rPr>
          <w:u w:val="single"/>
        </w:rPr>
      </w:pPr>
    </w:p>
    <w:p w14:paraId="293C89AE" w14:textId="77777777" w:rsidR="00721A83" w:rsidRPr="00CC69E0" w:rsidRDefault="00721A83" w:rsidP="00721A83">
      <w:r w:rsidRPr="00E8419B">
        <w:rPr>
          <w:u w:val="single"/>
        </w:rPr>
        <w:t>Electricity</w:t>
      </w:r>
    </w:p>
    <w:p w14:paraId="127AB31A" w14:textId="77777777" w:rsidR="00721A83" w:rsidRDefault="00721A83" w:rsidP="00721A83">
      <w:r>
        <w:t xml:space="preserve">In 2022 BACS Ltd used 31631 kwh of electricity. 45% of the electricity used was from the national grid and the remaining 55% was generated by the solar site located at Birch Airfield. </w:t>
      </w:r>
      <w:r w:rsidRPr="0002554D">
        <w:t xml:space="preserve">The Farm Carbon </w:t>
      </w:r>
      <w:r>
        <w:t>Tool kit c</w:t>
      </w:r>
      <w:r w:rsidRPr="0002554D">
        <w:t>alculat</w:t>
      </w:r>
      <w:r>
        <w:t>es</w:t>
      </w:r>
      <w:r w:rsidRPr="0002554D">
        <w:t xml:space="preserve"> the overall electricity used as 4.15 t CO2e.</w:t>
      </w:r>
    </w:p>
    <w:p w14:paraId="1FFD2579" w14:textId="77777777" w:rsidR="00C55A1D" w:rsidRDefault="00C55A1D" w:rsidP="00721A83"/>
    <w:p w14:paraId="5DE576A5" w14:textId="5F053155" w:rsidR="00243754" w:rsidRDefault="00243754" w:rsidP="00243754">
      <w:pPr>
        <w:rPr>
          <w:u w:val="single"/>
        </w:rPr>
      </w:pPr>
      <w:r w:rsidRPr="000F5EDE">
        <w:rPr>
          <w:u w:val="single"/>
        </w:rPr>
        <w:t xml:space="preserve">Scope </w:t>
      </w:r>
      <w:r>
        <w:rPr>
          <w:u w:val="single"/>
        </w:rPr>
        <w:t>3</w:t>
      </w:r>
      <w:r w:rsidRPr="000F5EDE">
        <w:rPr>
          <w:u w:val="single"/>
        </w:rPr>
        <w:t xml:space="preserve"> emissions</w:t>
      </w:r>
    </w:p>
    <w:p w14:paraId="587AD7B0" w14:textId="77777777" w:rsidR="00243754" w:rsidRDefault="00243754" w:rsidP="00243754">
      <w:pPr>
        <w:rPr>
          <w:u w:val="single"/>
        </w:rPr>
      </w:pPr>
    </w:p>
    <w:p w14:paraId="1A822B91" w14:textId="37A88ECB" w:rsidR="00243754" w:rsidRPr="00C12C27" w:rsidRDefault="00243754" w:rsidP="00243754">
      <w:pPr>
        <w:rPr>
          <w:u w:val="single"/>
        </w:rPr>
      </w:pPr>
      <w:r w:rsidRPr="0045616E">
        <w:rPr>
          <w:u w:val="single"/>
        </w:rPr>
        <w:lastRenderedPageBreak/>
        <w:t>Staff travel</w:t>
      </w:r>
    </w:p>
    <w:p w14:paraId="0ECE2728" w14:textId="3774486D" w:rsidR="00243754" w:rsidRDefault="00243754" w:rsidP="00243754">
      <w:r>
        <w:t>The amount of fuel used by staff to commute to Birch Airfield compost site was 1198 litres of petrol which produced 3.36t CO2e and 2127.</w:t>
      </w:r>
      <w:r w:rsidR="00127574">
        <w:t xml:space="preserve"> </w:t>
      </w:r>
      <w:r>
        <w:t>5 litres of diesel which produced 6.64t CO2e</w:t>
      </w:r>
      <w:r w:rsidR="00127574">
        <w:t xml:space="preserve"> was also used</w:t>
      </w:r>
      <w:r>
        <w:t>.</w:t>
      </w:r>
    </w:p>
    <w:p w14:paraId="2AB9372F" w14:textId="77777777" w:rsidR="00C55A1D" w:rsidRPr="00B74AA2" w:rsidRDefault="00C55A1D" w:rsidP="00721A83"/>
    <w:p w14:paraId="189040B2" w14:textId="77777777" w:rsidR="00721A83" w:rsidRPr="00AC41FA" w:rsidRDefault="00721A83" w:rsidP="00721A83">
      <w:pPr>
        <w:rPr>
          <w:u w:val="single"/>
        </w:rPr>
      </w:pPr>
      <w:r w:rsidRPr="00AC41FA">
        <w:rPr>
          <w:u w:val="single"/>
        </w:rPr>
        <w:t>Water</w:t>
      </w:r>
    </w:p>
    <w:p w14:paraId="710EAD79" w14:textId="77777777" w:rsidR="00721A83" w:rsidRDefault="00721A83" w:rsidP="00721A83">
      <w:r>
        <w:t xml:space="preserve">In 2022 BACS used 835m3 of mains water. This used 124.415 kg CO2e per unit. </w:t>
      </w:r>
    </w:p>
    <w:p w14:paraId="32FBF736" w14:textId="77777777" w:rsidR="00C55A1D" w:rsidRDefault="00C55A1D" w:rsidP="00721A83"/>
    <w:p w14:paraId="5B21FFBB" w14:textId="77777777" w:rsidR="00721A83" w:rsidRPr="00746B1E" w:rsidRDefault="00721A83" w:rsidP="00721A83">
      <w:pPr>
        <w:rPr>
          <w:u w:val="single"/>
        </w:rPr>
      </w:pPr>
      <w:r w:rsidRPr="00746B1E">
        <w:rPr>
          <w:u w:val="single"/>
        </w:rPr>
        <w:t>Waste removed from site</w:t>
      </w:r>
    </w:p>
    <w:p w14:paraId="425C7DAD" w14:textId="13528F73" w:rsidR="00721A83" w:rsidRDefault="00721A83" w:rsidP="00721A83">
      <w:r>
        <w:t xml:space="preserve">In 2022 117.54 tonnes of oversize waste from the compost screening process, which is a mix of woody material and plastic, was collected by </w:t>
      </w:r>
      <w:r w:rsidR="00B22EFD">
        <w:t xml:space="preserve">a local </w:t>
      </w:r>
      <w:r w:rsidR="00283B9F">
        <w:t>waste removal company</w:t>
      </w:r>
      <w:r>
        <w:t xml:space="preserve"> and sent to landfill. In 2022</w:t>
      </w:r>
      <w:r w:rsidRPr="00C87576">
        <w:rPr>
          <w:color w:val="FF0000"/>
        </w:rPr>
        <w:t xml:space="preserve"> </w:t>
      </w:r>
      <w:r w:rsidRPr="005674A1">
        <w:t xml:space="preserve">71.56t </w:t>
      </w:r>
      <w:r>
        <w:t xml:space="preserve">tonnes of contamination removed from waste delivered to the site was collected by Essex County Council and taken to landfill. </w:t>
      </w:r>
      <w:r w:rsidRPr="00BD06D7">
        <w:t xml:space="preserve">The Farm Carbon Tool kit calculates 189.1 tonnes of waste to landfill as being 86.64 t </w:t>
      </w:r>
      <w:r>
        <w:t>CO</w:t>
      </w:r>
      <w:r w:rsidRPr="00BD06D7">
        <w:t>2e.</w:t>
      </w:r>
    </w:p>
    <w:p w14:paraId="4891C285" w14:textId="77777777" w:rsidR="009D12C7" w:rsidRPr="00BD06D7" w:rsidRDefault="009D12C7" w:rsidP="00721A83"/>
    <w:p w14:paraId="714E4065" w14:textId="77777777" w:rsidR="00721A83" w:rsidRPr="00810E83" w:rsidRDefault="00721A83" w:rsidP="00721A83">
      <w:pPr>
        <w:rPr>
          <w:u w:val="single"/>
        </w:rPr>
      </w:pPr>
      <w:r w:rsidRPr="00810E83">
        <w:rPr>
          <w:u w:val="single"/>
        </w:rPr>
        <w:t>Carbon off setting</w:t>
      </w:r>
    </w:p>
    <w:p w14:paraId="620947C5" w14:textId="77777777" w:rsidR="00721A83" w:rsidRPr="00284B1A" w:rsidRDefault="00721A83" w:rsidP="00721A83">
      <w:r>
        <w:t xml:space="preserve">In 2022 BACS owned 446 m of hedgerows, with a 1 metre width. </w:t>
      </w:r>
      <w:r w:rsidRPr="00284B1A">
        <w:t xml:space="preserve">The Farm Carbon Toolkit calculates this provides minus 1 t CO2e for sequestration from hedgerows. </w:t>
      </w:r>
    </w:p>
    <w:p w14:paraId="19132BC2" w14:textId="77777777" w:rsidR="00721A83" w:rsidRPr="00534FC1" w:rsidRDefault="00721A83" w:rsidP="00721A83">
      <w:r w:rsidRPr="00534FC1">
        <w:t xml:space="preserve">BACS owns 1620 m2 of uncultivated land, which can provide a habitat for nature. The Farm Carbon Toolkit calculates this provides minus 0.03 t co2e for sequestration from uncultivated field margins. </w:t>
      </w:r>
    </w:p>
    <w:p w14:paraId="2EDA9925" w14:textId="77777777" w:rsidR="00721A83" w:rsidRPr="00721A83" w:rsidRDefault="00721A83" w:rsidP="00721A83">
      <w:pPr>
        <w:pStyle w:val="Standard"/>
      </w:pPr>
    </w:p>
    <w:p w14:paraId="1EDFE672" w14:textId="6A91E7D0" w:rsidR="008768CA" w:rsidRDefault="00C50A66">
      <w:pPr>
        <w:pStyle w:val="Heading1"/>
        <w:keepNext w:val="0"/>
        <w:keepLines w:val="0"/>
        <w:spacing w:before="0" w:line="268" w:lineRule="auto"/>
        <w:jc w:val="both"/>
      </w:pPr>
      <w:r>
        <w:rPr>
          <w:b/>
          <w:sz w:val="28"/>
          <w:szCs w:val="28"/>
        </w:rPr>
        <w:t>Emissions reduction targets</w:t>
      </w:r>
    </w:p>
    <w:p w14:paraId="2397FCCF" w14:textId="27C98C0C" w:rsidR="008768CA" w:rsidRDefault="00C50A66">
      <w:pPr>
        <w:pStyle w:val="Heading1"/>
        <w:keepNext w:val="0"/>
        <w:keepLines w:val="0"/>
        <w:spacing w:before="0" w:line="268" w:lineRule="auto"/>
        <w:jc w:val="both"/>
      </w:pPr>
      <w:bookmarkStart w:id="5" w:name="_heading=h.tyjcwt"/>
      <w:bookmarkStart w:id="6" w:name="_heading=h.4d34og8"/>
      <w:bookmarkEnd w:id="5"/>
      <w:bookmarkEnd w:id="6"/>
      <w:r>
        <w:rPr>
          <w:sz w:val="22"/>
          <w:szCs w:val="22"/>
        </w:rPr>
        <w:t xml:space="preserve">In order to continue our progress to achieving Net Zero, we </w:t>
      </w:r>
      <w:r w:rsidR="00F21847">
        <w:rPr>
          <w:sz w:val="22"/>
          <w:szCs w:val="22"/>
        </w:rPr>
        <w:t>will develop</w:t>
      </w:r>
      <w:r>
        <w:rPr>
          <w:sz w:val="22"/>
          <w:szCs w:val="22"/>
        </w:rPr>
        <w:t xml:space="preserve"> carbon reduction targets</w:t>
      </w:r>
      <w:r w:rsidR="00E428D6">
        <w:rPr>
          <w:sz w:val="22"/>
          <w:szCs w:val="22"/>
        </w:rPr>
        <w:t xml:space="preserve"> once the intervention options have been explored further</w:t>
      </w:r>
      <w:r>
        <w:rPr>
          <w:sz w:val="22"/>
          <w:szCs w:val="22"/>
        </w:rPr>
        <w:t>.</w:t>
      </w:r>
      <w:bookmarkStart w:id="7" w:name="_heading=h.2s8eyo1"/>
      <w:bookmarkStart w:id="8" w:name="_heading=h.17dp8vu"/>
      <w:bookmarkStart w:id="9" w:name="_heading=h.3rdcrjn"/>
      <w:bookmarkStart w:id="10" w:name="_heading=h.26in1rg"/>
      <w:bookmarkStart w:id="11" w:name="_heading=h.lnxbz9"/>
      <w:bookmarkStart w:id="12" w:name="_heading=h.35nkun2"/>
      <w:bookmarkStart w:id="13" w:name="_heading=h.1ksv4uv"/>
      <w:bookmarkStart w:id="14" w:name="_heading=h.44sinio"/>
      <w:bookmarkStart w:id="15" w:name="_heading=h.2jxsxqh"/>
      <w:bookmarkStart w:id="16" w:name="_heading=h.z337ya"/>
      <w:bookmarkStart w:id="17" w:name="_heading=h.3j2qqm3"/>
      <w:bookmarkStart w:id="18" w:name="_heading=h.1y810tw"/>
      <w:bookmarkStart w:id="19" w:name="_heading=h.4i7ojhp"/>
      <w:bookmarkStart w:id="20" w:name="_heading=h.2xcytpi"/>
      <w:bookmarkStart w:id="21" w:name="_heading=h.1ci93xb"/>
      <w:bookmarkStart w:id="22" w:name="_heading=h.3whwml4"/>
      <w:bookmarkStart w:id="23" w:name="_heading=h.2bn6wsx"/>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sz w:val="22"/>
          <w:szCs w:val="22"/>
        </w:rPr>
        <w:t xml:space="preserve">  </w:t>
      </w:r>
    </w:p>
    <w:p w14:paraId="18CA59BC" w14:textId="77777777" w:rsidR="008768CA" w:rsidRDefault="00C50A66">
      <w:pPr>
        <w:pStyle w:val="Heading1"/>
        <w:spacing w:before="360" w:line="244" w:lineRule="auto"/>
        <w:rPr>
          <w:b/>
          <w:sz w:val="28"/>
          <w:szCs w:val="28"/>
        </w:rPr>
      </w:pPr>
      <w:bookmarkStart w:id="24" w:name="_heading=h.qsh70q"/>
      <w:bookmarkEnd w:id="24"/>
      <w:r>
        <w:rPr>
          <w:b/>
          <w:sz w:val="28"/>
          <w:szCs w:val="28"/>
        </w:rPr>
        <w:t>Carbon Reduction Projects</w:t>
      </w:r>
    </w:p>
    <w:p w14:paraId="601A2DA2" w14:textId="49E5CB7F" w:rsidR="008C7AF8" w:rsidRPr="00D80BA6" w:rsidRDefault="008C7AF8" w:rsidP="00A46518">
      <w:r w:rsidRPr="00D80BA6">
        <w:t xml:space="preserve">The key carbon hotspots of company operations </w:t>
      </w:r>
      <w:r w:rsidR="00F446D0" w:rsidRPr="00D80BA6">
        <w:t xml:space="preserve">and potential interventions </w:t>
      </w:r>
      <w:r w:rsidR="006F201C">
        <w:t>have been identified</w:t>
      </w:r>
      <w:r w:rsidR="00F446D0" w:rsidRPr="00D80BA6">
        <w:t xml:space="preserve">. </w:t>
      </w:r>
    </w:p>
    <w:p w14:paraId="142B2A1D" w14:textId="77777777" w:rsidR="00F446D0" w:rsidRPr="00D80BA6" w:rsidRDefault="00F446D0" w:rsidP="00A46518"/>
    <w:p w14:paraId="66DD4828" w14:textId="5EAE4F04" w:rsidR="00A46518" w:rsidRPr="00D80BA6" w:rsidRDefault="00A46518" w:rsidP="00A46518">
      <w:pPr>
        <w:rPr>
          <w:u w:val="single"/>
        </w:rPr>
      </w:pPr>
      <w:r w:rsidRPr="00D80BA6">
        <w:rPr>
          <w:u w:val="single"/>
        </w:rPr>
        <w:t>Diesel</w:t>
      </w:r>
    </w:p>
    <w:p w14:paraId="52260F21" w14:textId="77777777" w:rsidR="00A46518" w:rsidRPr="00D80BA6" w:rsidRDefault="00A46518" w:rsidP="00A46518">
      <w:r w:rsidRPr="00D80BA6">
        <w:t>The primary carbon hotspot for company operations is the use of white diesel. In 2022 the 126,800 litres purchased accounted for the highest amount of CO2e used by BACS at 395.90 t.</w:t>
      </w:r>
    </w:p>
    <w:p w14:paraId="191F54B6" w14:textId="77777777" w:rsidR="00A46518" w:rsidRPr="00D80BA6" w:rsidRDefault="00A46518" w:rsidP="00A46518">
      <w:r w:rsidRPr="00D80BA6">
        <w:t>Interventions:</w:t>
      </w:r>
    </w:p>
    <w:p w14:paraId="620176EC" w14:textId="77777777" w:rsidR="00A46518" w:rsidRPr="00D80BA6" w:rsidRDefault="00A46518" w:rsidP="00A46518">
      <w:pPr>
        <w:pStyle w:val="ListParagraph"/>
        <w:numPr>
          <w:ilvl w:val="0"/>
          <w:numId w:val="4"/>
        </w:numPr>
        <w:rPr>
          <w:rFonts w:ascii="Arial" w:hAnsi="Arial" w:cs="Arial"/>
        </w:rPr>
      </w:pPr>
      <w:r w:rsidRPr="00D80BA6">
        <w:rPr>
          <w:rFonts w:ascii="Arial" w:hAnsi="Arial" w:cs="Arial"/>
        </w:rPr>
        <w:t>Identify any more environmentally friendly fuel options which could be used and trial these.</w:t>
      </w:r>
    </w:p>
    <w:p w14:paraId="6D3C2D66" w14:textId="77777777" w:rsidR="00A46518" w:rsidRPr="00D80BA6" w:rsidRDefault="00A46518" w:rsidP="00A46518">
      <w:pPr>
        <w:pStyle w:val="ListParagraph"/>
        <w:numPr>
          <w:ilvl w:val="0"/>
          <w:numId w:val="4"/>
        </w:numPr>
        <w:rPr>
          <w:rFonts w:ascii="Arial" w:hAnsi="Arial" w:cs="Arial"/>
        </w:rPr>
      </w:pPr>
      <w:r w:rsidRPr="00D80BA6">
        <w:rPr>
          <w:rFonts w:ascii="Arial" w:hAnsi="Arial" w:cs="Arial"/>
        </w:rPr>
        <w:t>Identify which machines have been made in electric or hydrogen powered versions and trial these.</w:t>
      </w:r>
    </w:p>
    <w:p w14:paraId="38A690F3" w14:textId="77777777" w:rsidR="00A46518" w:rsidRPr="00D80BA6" w:rsidRDefault="00A46518" w:rsidP="00A46518">
      <w:pPr>
        <w:pStyle w:val="ListParagraph"/>
        <w:numPr>
          <w:ilvl w:val="0"/>
          <w:numId w:val="4"/>
        </w:numPr>
        <w:rPr>
          <w:rFonts w:ascii="Arial" w:hAnsi="Arial" w:cs="Arial"/>
        </w:rPr>
      </w:pPr>
      <w:r w:rsidRPr="00D80BA6">
        <w:rPr>
          <w:rFonts w:ascii="Arial" w:hAnsi="Arial" w:cs="Arial"/>
        </w:rPr>
        <w:t>Train staff to switch off engines when not required.</w:t>
      </w:r>
    </w:p>
    <w:p w14:paraId="69138D85" w14:textId="77777777" w:rsidR="00A46518" w:rsidRPr="00D80BA6" w:rsidRDefault="00A46518" w:rsidP="00A46518">
      <w:pPr>
        <w:rPr>
          <w:u w:val="single"/>
        </w:rPr>
      </w:pPr>
      <w:r w:rsidRPr="00D80BA6">
        <w:rPr>
          <w:u w:val="single"/>
        </w:rPr>
        <w:t>Electricity</w:t>
      </w:r>
    </w:p>
    <w:p w14:paraId="2E291FF4" w14:textId="77777777" w:rsidR="00A46518" w:rsidRPr="00D80BA6" w:rsidRDefault="00A46518" w:rsidP="00A46518">
      <w:r w:rsidRPr="00D80BA6">
        <w:t xml:space="preserve">Whilst 55% of the electricity used by BACS is generated by the adjoining solar site, the remaining 45% could potentially be if battery storage was utilised. </w:t>
      </w:r>
    </w:p>
    <w:p w14:paraId="7ABB980C" w14:textId="77777777" w:rsidR="00A46518" w:rsidRPr="00D80BA6" w:rsidRDefault="00A46518" w:rsidP="00A46518">
      <w:r w:rsidRPr="00D80BA6">
        <w:t>Interventions:</w:t>
      </w:r>
    </w:p>
    <w:p w14:paraId="09C4FE59" w14:textId="77777777" w:rsidR="00A46518" w:rsidRPr="00D80BA6" w:rsidRDefault="00A46518" w:rsidP="00A46518">
      <w:pPr>
        <w:pStyle w:val="ListParagraph"/>
        <w:numPr>
          <w:ilvl w:val="0"/>
          <w:numId w:val="3"/>
        </w:numPr>
        <w:rPr>
          <w:rFonts w:ascii="Arial" w:hAnsi="Arial" w:cs="Arial"/>
        </w:rPr>
      </w:pPr>
      <w:r w:rsidRPr="00D80BA6">
        <w:rPr>
          <w:rFonts w:ascii="Arial" w:hAnsi="Arial" w:cs="Arial"/>
        </w:rPr>
        <w:t>Research the possibility of battery storage at Birch Airfield and assess cost benefits.</w:t>
      </w:r>
    </w:p>
    <w:p w14:paraId="655E44B7" w14:textId="77777777" w:rsidR="00A46518" w:rsidRPr="00D80BA6" w:rsidRDefault="00A46518" w:rsidP="00A46518">
      <w:pPr>
        <w:rPr>
          <w:u w:val="single"/>
        </w:rPr>
      </w:pPr>
      <w:r w:rsidRPr="00D80BA6">
        <w:rPr>
          <w:u w:val="single"/>
        </w:rPr>
        <w:t>Staff travel</w:t>
      </w:r>
    </w:p>
    <w:p w14:paraId="6C7F1D02" w14:textId="77777777" w:rsidR="00A46518" w:rsidRPr="00D80BA6" w:rsidRDefault="00A46518" w:rsidP="00A46518">
      <w:r w:rsidRPr="00D80BA6">
        <w:t>Staff travel to work in petrol and diesel cars accounts for 10 t of CO2e.</w:t>
      </w:r>
    </w:p>
    <w:p w14:paraId="6388D195" w14:textId="77777777" w:rsidR="00A46518" w:rsidRPr="00D80BA6" w:rsidRDefault="00A46518" w:rsidP="00A46518">
      <w:r w:rsidRPr="00D80BA6">
        <w:t>Intervention:</w:t>
      </w:r>
    </w:p>
    <w:p w14:paraId="12DD24B6" w14:textId="77777777" w:rsidR="00A46518" w:rsidRPr="00D80BA6" w:rsidRDefault="00A46518" w:rsidP="00A46518">
      <w:pPr>
        <w:pStyle w:val="ListParagraph"/>
        <w:numPr>
          <w:ilvl w:val="0"/>
          <w:numId w:val="3"/>
        </w:numPr>
        <w:rPr>
          <w:rFonts w:ascii="Arial" w:hAnsi="Arial" w:cs="Arial"/>
        </w:rPr>
      </w:pPr>
      <w:r w:rsidRPr="00D80BA6">
        <w:rPr>
          <w:rFonts w:ascii="Arial" w:hAnsi="Arial" w:cs="Arial"/>
        </w:rPr>
        <w:t>Encourage staff to use electric cars.</w:t>
      </w:r>
    </w:p>
    <w:p w14:paraId="48D61CF4" w14:textId="77777777" w:rsidR="00A46518" w:rsidRPr="00D80BA6" w:rsidRDefault="00A46518" w:rsidP="00A46518">
      <w:pPr>
        <w:rPr>
          <w:u w:val="single"/>
        </w:rPr>
      </w:pPr>
      <w:r w:rsidRPr="00D80BA6">
        <w:rPr>
          <w:u w:val="single"/>
        </w:rPr>
        <w:lastRenderedPageBreak/>
        <w:t>Waste removed from site</w:t>
      </w:r>
    </w:p>
    <w:p w14:paraId="59219761" w14:textId="77777777" w:rsidR="00A46518" w:rsidRPr="00D80BA6" w:rsidRDefault="00A46518" w:rsidP="00A46518">
      <w:r w:rsidRPr="00D80BA6">
        <w:t>In 2022 the amount of waste removed from site to landfill accounted for 86.64 t CO2e. It is likely much of the contamination could be recycled.</w:t>
      </w:r>
    </w:p>
    <w:p w14:paraId="78B93CCD" w14:textId="77777777" w:rsidR="00A46518" w:rsidRPr="00D80BA6" w:rsidRDefault="00A46518" w:rsidP="00A46518">
      <w:r w:rsidRPr="00D80BA6">
        <w:t>Intervention:</w:t>
      </w:r>
    </w:p>
    <w:p w14:paraId="755E7922" w14:textId="77777777" w:rsidR="00A46518" w:rsidRPr="00D80BA6" w:rsidRDefault="00A46518" w:rsidP="00A46518">
      <w:pPr>
        <w:pStyle w:val="ListParagraph"/>
        <w:numPr>
          <w:ilvl w:val="0"/>
          <w:numId w:val="3"/>
        </w:numPr>
        <w:rPr>
          <w:rFonts w:ascii="Arial" w:hAnsi="Arial" w:cs="Arial"/>
        </w:rPr>
      </w:pPr>
      <w:r w:rsidRPr="00D80BA6">
        <w:rPr>
          <w:rFonts w:ascii="Arial" w:hAnsi="Arial" w:cs="Arial"/>
        </w:rPr>
        <w:t>Speak with ECC about business recycling options.</w:t>
      </w:r>
    </w:p>
    <w:p w14:paraId="23160718" w14:textId="77777777" w:rsidR="00F92D23" w:rsidRPr="00D80BA6" w:rsidRDefault="00F92D23" w:rsidP="007128EA"/>
    <w:p w14:paraId="6880A8AF" w14:textId="57278B40" w:rsidR="007128EA" w:rsidRPr="00D80BA6" w:rsidRDefault="007128EA" w:rsidP="007128EA">
      <w:r w:rsidRPr="00D80BA6">
        <w:t>In addition to the planned interventions, outlined above, to reduce carbon used by the business on an annual basis, BACS have strategic sustainability objectives which aim to positively impact on the environment and reduce carbon levels.</w:t>
      </w:r>
    </w:p>
    <w:p w14:paraId="2AD44227" w14:textId="77777777" w:rsidR="007128EA" w:rsidRDefault="007128EA" w:rsidP="007128EA">
      <w:r w:rsidRPr="00D80BA6">
        <w:t xml:space="preserve">In the land surrounding Birch Airfield compost site BACS own 446m of tree plantations. These provide the dual purposes of screening the activities at the compost site, so neighbours do not see machines in operation, and carbon offsetting. BACS will assess the possibility of planting trees each year to impact on carbon offsetting. </w:t>
      </w:r>
    </w:p>
    <w:p w14:paraId="6DC7A98C" w14:textId="77777777" w:rsidR="002A0606" w:rsidRPr="00D80BA6" w:rsidRDefault="002A0606" w:rsidP="007128EA"/>
    <w:p w14:paraId="2BFAA052" w14:textId="77777777" w:rsidR="007128EA" w:rsidRDefault="007128EA" w:rsidP="007128EA">
      <w:r w:rsidRPr="00D80BA6">
        <w:t xml:space="preserve">BACS use local suppliers where possible, to reduce the haulage, and therefore carbon used to deliver materials to site. </w:t>
      </w:r>
    </w:p>
    <w:p w14:paraId="30F305D7" w14:textId="77777777" w:rsidR="002A0606" w:rsidRPr="00D80BA6" w:rsidRDefault="002A0606" w:rsidP="007128EA"/>
    <w:p w14:paraId="48E52E93" w14:textId="77777777" w:rsidR="007128EA" w:rsidRDefault="007128EA" w:rsidP="007128EA">
      <w:r w:rsidRPr="00D80BA6">
        <w:t xml:space="preserve">Compost spread to land has the ability to capture carbon within the soil. Approximately 6,000 tonnes of compost was spread to farm land owned by the Strathern family who own and run BACS. This captures carbon each year by increasing the organic matter levels in the soil. BACS plan to continue using compost on the family farm. </w:t>
      </w:r>
    </w:p>
    <w:p w14:paraId="52DB2295" w14:textId="77777777" w:rsidR="002B070F" w:rsidRPr="00D80BA6" w:rsidRDefault="002B070F" w:rsidP="007128EA"/>
    <w:p w14:paraId="1B388D81" w14:textId="77777777" w:rsidR="007128EA" w:rsidRPr="00D80BA6" w:rsidRDefault="007128EA" w:rsidP="007128EA">
      <w:r w:rsidRPr="00D80BA6">
        <w:t xml:space="preserve">In 2022 BACS produced in the region of 25,000 tonnes of compost. The compost is used by farmers, gardeners and in forestry. The use of compost produced by Birch Airfield Composting Services Ltd in the local area ensures further carbon is captured. </w:t>
      </w:r>
    </w:p>
    <w:p w14:paraId="14A7DA86" w14:textId="77777777" w:rsidR="008768CA" w:rsidRDefault="00C50A66">
      <w:pPr>
        <w:pStyle w:val="Heading1"/>
        <w:spacing w:before="360" w:line="244" w:lineRule="auto"/>
      </w:pPr>
      <w:bookmarkStart w:id="25" w:name="_heading=h.3as4poj"/>
      <w:bookmarkStart w:id="26" w:name="_heading=h.49x2ik5"/>
      <w:bookmarkEnd w:id="25"/>
      <w:bookmarkEnd w:id="26"/>
      <w:r>
        <w:rPr>
          <w:b/>
          <w:sz w:val="28"/>
          <w:szCs w:val="28"/>
        </w:rPr>
        <w:t>Declaration and Sign Off</w:t>
      </w:r>
    </w:p>
    <w:p w14:paraId="0676FFEE" w14:textId="77777777" w:rsidR="008768CA" w:rsidRDefault="00C50A66">
      <w:pPr>
        <w:pStyle w:val="Standard"/>
        <w:spacing w:after="300" w:line="244" w:lineRule="auto"/>
      </w:pPr>
      <w:r>
        <w:t>This Carbon Reduction Plan has been completed in accordance with PPN 06/21 and associated guidance and reporting standard for Carbon Reduction Plans.</w:t>
      </w:r>
    </w:p>
    <w:p w14:paraId="1E44F83F" w14:textId="77777777" w:rsidR="008768CA" w:rsidRDefault="00C50A66">
      <w:pPr>
        <w:pStyle w:val="Standard"/>
        <w:spacing w:after="300" w:line="244" w:lineRule="auto"/>
      </w:pPr>
      <w:r>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2"/>
      </w:r>
      <w:r>
        <w:rPr>
          <w:color w:val="000000"/>
        </w:rPr>
        <w:t xml:space="preserve"> </w:t>
      </w:r>
      <w:r>
        <w:rPr>
          <w:color w:val="0B0C0C"/>
        </w:rPr>
        <w:t>and uses the appropri</w:t>
      </w:r>
      <w:r>
        <w:rPr>
          <w:color w:val="000000"/>
        </w:rPr>
        <w:t xml:space="preserve">ate </w:t>
      </w:r>
      <w:hyperlink r:id="rId9" w:history="1">
        <w:r>
          <w:rPr>
            <w:color w:val="000000"/>
          </w:rPr>
          <w:t>Government emission conversion factors for greenhouse gas company reporting</w:t>
        </w:r>
      </w:hyperlink>
      <w:r>
        <w:rPr>
          <w:rStyle w:val="FootnoteReference"/>
          <w:color w:val="000000"/>
        </w:rPr>
        <w:footnoteReference w:id="3"/>
      </w:r>
      <w:r>
        <w:rPr>
          <w:color w:val="000000"/>
        </w:rPr>
        <w:t>.</w:t>
      </w:r>
    </w:p>
    <w:p w14:paraId="76DB7DFE" w14:textId="369398D3" w:rsidR="008768CA" w:rsidRDefault="00C50A66">
      <w:pPr>
        <w:pStyle w:val="Standard"/>
        <w:spacing w:after="300" w:line="244" w:lineRule="auto"/>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4"/>
      </w:r>
      <w:r>
        <w:rPr>
          <w:color w:val="000000"/>
        </w:rPr>
        <w:t>.</w:t>
      </w:r>
      <w:r w:rsidR="00F64797">
        <w:t xml:space="preserve"> </w:t>
      </w:r>
      <w:r>
        <w:rPr>
          <w:color w:val="0B0C0C"/>
        </w:rPr>
        <w:t xml:space="preserve">This Carbon Reduction Plan has been reviewed and signed off </w:t>
      </w:r>
      <w:r>
        <w:t>by the board of directors (or equivalent management body).</w:t>
      </w:r>
    </w:p>
    <w:p w14:paraId="5D7D68C4" w14:textId="77777777" w:rsidR="008768CA" w:rsidRDefault="00C50A66">
      <w:pPr>
        <w:pStyle w:val="Heading4"/>
        <w:spacing w:after="300" w:line="244" w:lineRule="auto"/>
      </w:pPr>
      <w:bookmarkStart w:id="27" w:name="_heading=h.2p2csry"/>
      <w:bookmarkEnd w:id="27"/>
      <w:r>
        <w:t>Signed on behalf of the Supplier:</w:t>
      </w:r>
    </w:p>
    <w:p w14:paraId="7EE87C66" w14:textId="77777777" w:rsidR="00F64797" w:rsidRDefault="00836FCD" w:rsidP="00836FCD">
      <w:pPr>
        <w:pStyle w:val="Standard"/>
        <w:spacing w:after="300" w:line="244" w:lineRule="auto"/>
        <w:rPr>
          <w:color w:val="0B0C0C"/>
        </w:rPr>
      </w:pPr>
      <w:r>
        <w:rPr>
          <w:color w:val="0B0C0C"/>
        </w:rPr>
        <w:t>Director Angela Morton</w:t>
      </w:r>
    </w:p>
    <w:p w14:paraId="0992BAD1" w14:textId="31D6BEBC" w:rsidR="008768CA" w:rsidRDefault="00C50A66" w:rsidP="00836FCD">
      <w:pPr>
        <w:pStyle w:val="Standard"/>
        <w:spacing w:after="300" w:line="244" w:lineRule="auto"/>
      </w:pPr>
      <w:r>
        <w:rPr>
          <w:color w:val="0B0C0C"/>
        </w:rPr>
        <w:t xml:space="preserve">Date: </w:t>
      </w:r>
      <w:r w:rsidR="00595507">
        <w:rPr>
          <w:color w:val="0B0C0C"/>
        </w:rPr>
        <w:t>01</w:t>
      </w:r>
      <w:r w:rsidR="00836FCD">
        <w:rPr>
          <w:color w:val="0B0C0C"/>
        </w:rPr>
        <w:t>/04/2023</w:t>
      </w:r>
      <w:bookmarkStart w:id="28" w:name="_heading=h.147n2zr"/>
      <w:bookmarkEnd w:id="28"/>
    </w:p>
    <w:sectPr w:rsidR="008768CA">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0341" w14:textId="77777777" w:rsidR="00B321D9" w:rsidRDefault="00B321D9">
      <w:r>
        <w:separator/>
      </w:r>
    </w:p>
  </w:endnote>
  <w:endnote w:type="continuationSeparator" w:id="0">
    <w:p w14:paraId="0BA9AF70" w14:textId="77777777" w:rsidR="00B321D9" w:rsidRDefault="00B321D9">
      <w:r>
        <w:continuationSeparator/>
      </w:r>
    </w:p>
  </w:endnote>
  <w:endnote w:type="continuationNotice" w:id="1">
    <w:p w14:paraId="411EF15C" w14:textId="77777777" w:rsidR="005F1B0A" w:rsidRDefault="005F1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2F1B" w14:textId="77777777" w:rsidR="00B321D9" w:rsidRDefault="00B321D9">
      <w:r>
        <w:rPr>
          <w:color w:val="000000"/>
        </w:rPr>
        <w:separator/>
      </w:r>
    </w:p>
  </w:footnote>
  <w:footnote w:type="continuationSeparator" w:id="0">
    <w:p w14:paraId="5932CB32" w14:textId="77777777" w:rsidR="00B321D9" w:rsidRDefault="00B321D9">
      <w:r>
        <w:continuationSeparator/>
      </w:r>
    </w:p>
  </w:footnote>
  <w:footnote w:type="continuationNotice" w:id="1">
    <w:p w14:paraId="3DE42792" w14:textId="77777777" w:rsidR="005F1B0A" w:rsidRDefault="005F1B0A"/>
  </w:footnote>
  <w:footnote w:id="2">
    <w:p w14:paraId="2AE06CE4" w14:textId="77777777" w:rsidR="008768CA" w:rsidRDefault="00C50A66">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3">
    <w:p w14:paraId="7EBE2923" w14:textId="77777777" w:rsidR="008768CA" w:rsidRDefault="00C50A66">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4">
    <w:p w14:paraId="603D1A66" w14:textId="77777777" w:rsidR="008768CA" w:rsidRDefault="00C50A66">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CFF1" w14:textId="77777777" w:rsidR="00185638" w:rsidRDefault="005F1B0A">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2205"/>
    <w:multiLevelType w:val="hybridMultilevel"/>
    <w:tmpl w:val="C9E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C01F3"/>
    <w:multiLevelType w:val="hybridMultilevel"/>
    <w:tmpl w:val="D4FC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D0BC1"/>
    <w:multiLevelType w:val="multilevel"/>
    <w:tmpl w:val="46F6BB3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FB11729"/>
    <w:multiLevelType w:val="multilevel"/>
    <w:tmpl w:val="4F942F22"/>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017729733">
    <w:abstractNumId w:val="2"/>
  </w:num>
  <w:num w:numId="2" w16cid:durableId="1135638059">
    <w:abstractNumId w:val="3"/>
  </w:num>
  <w:num w:numId="3" w16cid:durableId="287052019">
    <w:abstractNumId w:val="1"/>
  </w:num>
  <w:num w:numId="4" w16cid:durableId="199571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CA"/>
    <w:rsid w:val="000001F5"/>
    <w:rsid w:val="000666EB"/>
    <w:rsid w:val="0009612F"/>
    <w:rsid w:val="000B659E"/>
    <w:rsid w:val="000D4CA2"/>
    <w:rsid w:val="000E573D"/>
    <w:rsid w:val="0012298D"/>
    <w:rsid w:val="00127574"/>
    <w:rsid w:val="00132A9F"/>
    <w:rsid w:val="001C109D"/>
    <w:rsid w:val="00243754"/>
    <w:rsid w:val="002740D1"/>
    <w:rsid w:val="00283B9F"/>
    <w:rsid w:val="002A0606"/>
    <w:rsid w:val="002A0B28"/>
    <w:rsid w:val="002B070F"/>
    <w:rsid w:val="0033567B"/>
    <w:rsid w:val="00341702"/>
    <w:rsid w:val="003F2B86"/>
    <w:rsid w:val="004106E5"/>
    <w:rsid w:val="004C3551"/>
    <w:rsid w:val="00584008"/>
    <w:rsid w:val="00595507"/>
    <w:rsid w:val="005F1B0A"/>
    <w:rsid w:val="006F201C"/>
    <w:rsid w:val="007128EA"/>
    <w:rsid w:val="00721A83"/>
    <w:rsid w:val="007B2B6C"/>
    <w:rsid w:val="007E4F8F"/>
    <w:rsid w:val="00832B68"/>
    <w:rsid w:val="00836FCD"/>
    <w:rsid w:val="008768CA"/>
    <w:rsid w:val="008A3C96"/>
    <w:rsid w:val="008A70BA"/>
    <w:rsid w:val="008C7AF8"/>
    <w:rsid w:val="00911C11"/>
    <w:rsid w:val="00947E92"/>
    <w:rsid w:val="009A49E7"/>
    <w:rsid w:val="009D12C7"/>
    <w:rsid w:val="00A46518"/>
    <w:rsid w:val="00A75BAB"/>
    <w:rsid w:val="00A84A26"/>
    <w:rsid w:val="00A87C48"/>
    <w:rsid w:val="00A97ABD"/>
    <w:rsid w:val="00B22EFD"/>
    <w:rsid w:val="00B321D9"/>
    <w:rsid w:val="00B43258"/>
    <w:rsid w:val="00BC393B"/>
    <w:rsid w:val="00BE042D"/>
    <w:rsid w:val="00C012A5"/>
    <w:rsid w:val="00C04EF4"/>
    <w:rsid w:val="00C50A66"/>
    <w:rsid w:val="00C55A1D"/>
    <w:rsid w:val="00D33CF0"/>
    <w:rsid w:val="00D80BA6"/>
    <w:rsid w:val="00E06813"/>
    <w:rsid w:val="00E12E9F"/>
    <w:rsid w:val="00E428D6"/>
    <w:rsid w:val="00E45DC4"/>
    <w:rsid w:val="00E62791"/>
    <w:rsid w:val="00E72FA8"/>
    <w:rsid w:val="00F14547"/>
    <w:rsid w:val="00F21847"/>
    <w:rsid w:val="00F446D0"/>
    <w:rsid w:val="00F64797"/>
    <w:rsid w:val="00F91FF2"/>
    <w:rsid w:val="00F9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BD70"/>
  <w15:docId w15:val="{3BED0888-69C3-4643-8437-F68DB29E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8"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paragraph" w:styleId="ListParagraph">
    <w:name w:val="List Paragraph"/>
    <w:aliases w:val="Numbered Para 1,Dot pt,No Spacing1,List Paragraph Char Char Char,Indicator Text,Bullet 1,List Paragraph1,Bullet Points,MAIN CONTENT,List Paragraph12,F5 List Paragraph,Heading 2_sj,Style Bullet,Colorful List - Accent 11,Bullet Style"/>
    <w:basedOn w:val="Normal"/>
    <w:link w:val="ListParagraphChar"/>
    <w:uiPriority w:val="34"/>
    <w:qFormat/>
    <w:rsid w:val="007128EA"/>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link w:val="ListParagraph"/>
    <w:uiPriority w:val="34"/>
    <w:qFormat/>
    <w:locked/>
    <w:rsid w:val="007128EA"/>
    <w:rPr>
      <w:rFonts w:asciiTheme="minorHAnsi" w:eastAsiaTheme="minorHAnsi" w:hAnsiTheme="minorHAnsi" w:cstheme="minorBidi"/>
      <w:lang w:eastAsia="en-US" w:bidi="ar-SA"/>
    </w:rPr>
  </w:style>
  <w:style w:type="character" w:styleId="Hyperlink">
    <w:name w:val="Hyperlink"/>
    <w:basedOn w:val="DefaultParagraphFont"/>
    <w:uiPriority w:val="99"/>
    <w:unhideWhenUsed/>
    <w:rsid w:val="00721A83"/>
    <w:rPr>
      <w:color w:val="0563C1" w:themeColor="hyperlink"/>
      <w:u w:val="single"/>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paragraph" w:styleId="Footer">
    <w:name w:val="footer"/>
    <w:basedOn w:val="Normal"/>
    <w:link w:val="FooterChar"/>
    <w:uiPriority w:val="99"/>
    <w:semiHidden/>
    <w:unhideWhenUsed/>
    <w:rsid w:val="005F1B0A"/>
    <w:pPr>
      <w:tabs>
        <w:tab w:val="center" w:pos="4513"/>
        <w:tab w:val="right" w:pos="9026"/>
      </w:tabs>
    </w:pPr>
    <w:rPr>
      <w:rFonts w:cs="Mangal"/>
      <w:szCs w:val="20"/>
    </w:rPr>
  </w:style>
  <w:style w:type="character" w:customStyle="1" w:styleId="FooterChar">
    <w:name w:val="Footer Char"/>
    <w:basedOn w:val="DefaultParagraphFont"/>
    <w:link w:val="Footer"/>
    <w:uiPriority w:val="99"/>
    <w:semiHidden/>
    <w:rsid w:val="005F1B0A"/>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culator.farmcarbontoolkit.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government-conversion-factors-for-company-repor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Rowe - Procurement Graduate Higher Level</dc:creator>
  <cp:lastModifiedBy>Angela Morton</cp:lastModifiedBy>
  <cp:revision>62</cp:revision>
  <dcterms:created xsi:type="dcterms:W3CDTF">2023-04-21T09:56:00Z</dcterms:created>
  <dcterms:modified xsi:type="dcterms:W3CDTF">2023-06-28T12:46:00Z</dcterms:modified>
</cp:coreProperties>
</file>